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rea de Conocimiento  COMUNICACION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COMUNICACION  III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u w:color="ff0000"/>
                <w:rtl w:val="0"/>
                <w:lang w:val="es-ES_tradnl"/>
              </w:rPr>
              <w:t>CURSADA ANUAL CON PROMOCION SIN  EXAMEN FINAL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3048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Comunicar 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Profundizar anali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ticamente la expresio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fica en la comunicacio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la forma y el espacio de la ciudad, elementos urbanos y caracteri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sticas de sus espacios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Indagar 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 mediante procesos de captacio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percepcio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interpretacio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y comunicacio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Analizar aspectos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y psicofi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</w:t>
            </w:r>
          </w:p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–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Urbano. Reconocimiento de los elementos urbanos. Relaciones que se establecen. Volumetri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 edilicia. Llenos y vaci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Rasgos de identidad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Aspectos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y psicofi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sicos. Uso y apropiacio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nico-Urbano. Factores culturales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Representacio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nico-Urbano. Registros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ficos. Metodologi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as, escalas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ficas. Te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cnicas analo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gicas y digitales</w:t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