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0B0" w:rsidRDefault="00321AC1">
      <w:pPr>
        <w:pStyle w:val="CuerpoA"/>
        <w:pBdr>
          <w:bottom w:val="single" w:sz="4" w:space="0" w:color="000000"/>
        </w:pBdr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 w:rsidRPr="00EF001A">
        <w:rPr>
          <w:rStyle w:val="Ninguno"/>
          <w:rFonts w:ascii="Arial" w:hAnsi="Arial"/>
          <w:b/>
          <w:sz w:val="24"/>
          <w:szCs w:val="24"/>
        </w:rPr>
        <w:t>FICHA DE</w:t>
      </w:r>
      <w:r>
        <w:rPr>
          <w:rStyle w:val="Ninguno"/>
          <w:rFonts w:ascii="Arial" w:hAnsi="Arial"/>
          <w:sz w:val="24"/>
          <w:szCs w:val="24"/>
        </w:rPr>
        <w:t xml:space="preserve"> </w:t>
      </w:r>
      <w:bookmarkStart w:id="0" w:name="_Hlk104905032"/>
      <w:r>
        <w:rPr>
          <w:rStyle w:val="Ninguno"/>
          <w:rFonts w:ascii="Arial" w:hAnsi="Arial"/>
          <w:b/>
          <w:bCs/>
          <w:sz w:val="24"/>
          <w:szCs w:val="24"/>
        </w:rPr>
        <w:t xml:space="preserve">PROGRAMA  </w:t>
      </w:r>
      <w:bookmarkStart w:id="1" w:name="_GoBack"/>
      <w:bookmarkEnd w:id="1"/>
    </w:p>
    <w:p w:rsidR="00C420B0" w:rsidRDefault="00321AC1">
      <w:pPr>
        <w:pStyle w:val="CuerpoA"/>
        <w:numPr>
          <w:ilvl w:val="0"/>
          <w:numId w:val="2"/>
        </w:numPr>
        <w:jc w:val="both"/>
        <w:rPr>
          <w:rFonts w:ascii="Arial" w:hAnsi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 xml:space="preserve">Datos de la asignatura  </w:t>
      </w:r>
      <w:bookmarkEnd w:id="0"/>
    </w:p>
    <w:tbl>
      <w:tblPr>
        <w:tblStyle w:val="TableNormal"/>
        <w:tblW w:w="8838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03"/>
        <w:gridCol w:w="6735"/>
      </w:tblGrid>
      <w:tr w:rsidR="00C420B0">
        <w:trPr>
          <w:trHeight w:val="823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20B0" w:rsidRDefault="00321AC1">
            <w:pPr>
              <w:pStyle w:val="CuerpoA"/>
              <w:spacing w:after="0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Área de Conocimiento </w:t>
            </w:r>
          </w:p>
          <w:p w:rsidR="00C420B0" w:rsidRDefault="00321AC1">
            <w:pPr>
              <w:pStyle w:val="CuerpoA"/>
              <w:spacing w:after="0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PLANEAMIENTO / Ciclo Superior</w:t>
            </w:r>
          </w:p>
        </w:tc>
      </w:tr>
      <w:tr w:rsidR="00C420B0">
        <w:trPr>
          <w:trHeight w:val="582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20B0" w:rsidRDefault="00321AC1">
            <w:pPr>
              <w:pStyle w:val="CuerpoA"/>
              <w:spacing w:after="0" w:line="240" w:lineRule="auto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Nombre de la Asignatura PLANIFICACION TERRITORIAL II</w:t>
            </w:r>
          </w:p>
          <w:p w:rsidR="00C420B0" w:rsidRDefault="00321AC1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                                                                        </w:t>
            </w:r>
          </w:p>
        </w:tc>
      </w:tr>
      <w:tr w:rsidR="00C420B0">
        <w:trPr>
          <w:trHeight w:val="86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20B0" w:rsidRDefault="00321AC1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Régimen de Cursada y promoción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20B0" w:rsidRDefault="00321AC1">
            <w:pPr>
              <w:spacing w:after="0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ANUAL (código 652)</w:t>
            </w:r>
          </w:p>
          <w:p w:rsidR="00C420B0" w:rsidRDefault="00321AC1">
            <w:pPr>
              <w:spacing w:after="0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Cursada con </w:t>
            </w:r>
            <w:proofErr w:type="spellStart"/>
            <w:r>
              <w:rPr>
                <w:rStyle w:val="Ninguno"/>
                <w:rFonts w:ascii="Arial" w:hAnsi="Arial"/>
                <w:sz w:val="24"/>
                <w:szCs w:val="24"/>
              </w:rPr>
              <w:t>exámen</w:t>
            </w:r>
            <w:proofErr w:type="spellEnd"/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 final.</w:t>
            </w:r>
          </w:p>
        </w:tc>
      </w:tr>
      <w:tr w:rsidR="00C420B0">
        <w:trPr>
          <w:trHeight w:val="58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20B0" w:rsidRDefault="00321AC1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Carga Horaria Semanal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20B0" w:rsidRDefault="00C420B0"/>
        </w:tc>
      </w:tr>
      <w:tr w:rsidR="00C420B0">
        <w:trPr>
          <w:trHeight w:val="58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20B0" w:rsidRDefault="00321AC1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Carga Horaria Total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20B0" w:rsidRDefault="00321AC1">
            <w:pPr>
              <w:spacing w:after="0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112</w:t>
            </w:r>
          </w:p>
        </w:tc>
      </w:tr>
      <w:tr w:rsidR="00C420B0">
        <w:trPr>
          <w:trHeight w:val="3995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20B0" w:rsidRDefault="00321AC1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Objetivos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20B0" w:rsidRDefault="00321AC1">
            <w:r>
              <w:rPr>
                <w:rStyle w:val="Ninguno"/>
                <w:rFonts w:ascii="Arial" w:hAnsi="Arial"/>
                <w:color w:val="4D4D4D"/>
                <w:sz w:val="24"/>
                <w:szCs w:val="24"/>
                <w:u w:color="4D4D4D"/>
                <w:shd w:val="clear" w:color="auto" w:fill="FFFFFF"/>
              </w:rPr>
              <w:t>• Introducir al conocimiento de la región entendida como parte integral de la ciudad y</w:t>
            </w:r>
            <w:r>
              <w:rPr>
                <w:rStyle w:val="Ninguno"/>
                <w:rFonts w:ascii="Arial" w:hAnsi="Arial"/>
                <w:color w:val="4D4D4D"/>
                <w:sz w:val="24"/>
                <w:szCs w:val="24"/>
                <w:u w:color="4D4D4D"/>
              </w:rPr>
              <w:t xml:space="preserve"> </w:t>
            </w:r>
            <w:r>
              <w:rPr>
                <w:rStyle w:val="Ninguno"/>
                <w:rFonts w:ascii="Arial" w:hAnsi="Arial"/>
                <w:color w:val="4D4D4D"/>
                <w:sz w:val="24"/>
                <w:szCs w:val="24"/>
                <w:u w:color="4D4D4D"/>
                <w:shd w:val="clear" w:color="auto" w:fill="FFFFFF"/>
              </w:rPr>
              <w:t>por lo tanto del diseño del espacio.</w:t>
            </w:r>
            <w:r>
              <w:rPr>
                <w:rStyle w:val="Ninguno"/>
                <w:rFonts w:ascii="Arial" w:eastAsia="Arial" w:hAnsi="Arial" w:cs="Arial"/>
                <w:color w:val="4D4D4D"/>
                <w:sz w:val="24"/>
                <w:szCs w:val="24"/>
                <w:u w:color="4D4D4D"/>
              </w:rPr>
              <w:br/>
            </w:r>
            <w:r>
              <w:rPr>
                <w:rStyle w:val="Ninguno"/>
                <w:rFonts w:ascii="Arial" w:hAnsi="Arial"/>
                <w:color w:val="4D4D4D"/>
                <w:sz w:val="24"/>
                <w:szCs w:val="24"/>
                <w:u w:color="4D4D4D"/>
                <w:shd w:val="clear" w:color="auto" w:fill="FFFFFF"/>
              </w:rPr>
              <w:t>• Aproximar a los alumnos a la utilización de los instrumentos de análisis e interpretación de los procesos socio-espaciales para la elaboración de diagnósticos, formulación</w:t>
            </w:r>
            <w:r>
              <w:rPr>
                <w:rStyle w:val="Ninguno"/>
                <w:rFonts w:ascii="Arial" w:eastAsia="Arial" w:hAnsi="Arial" w:cs="Arial"/>
                <w:color w:val="4D4D4D"/>
                <w:sz w:val="24"/>
                <w:szCs w:val="24"/>
                <w:u w:color="4D4D4D"/>
              </w:rPr>
              <w:br/>
            </w:r>
            <w:r>
              <w:rPr>
                <w:rStyle w:val="Ninguno"/>
                <w:rFonts w:ascii="Arial" w:hAnsi="Arial"/>
                <w:color w:val="4D4D4D"/>
                <w:sz w:val="24"/>
                <w:szCs w:val="24"/>
                <w:u w:color="4D4D4D"/>
                <w:shd w:val="clear" w:color="auto" w:fill="FFFFFF"/>
              </w:rPr>
              <w:t>de escenarios, de planes y de proyectos urbanos a escala regional.</w:t>
            </w:r>
            <w:r>
              <w:rPr>
                <w:rStyle w:val="Ninguno"/>
                <w:rFonts w:ascii="Arial" w:eastAsia="Arial" w:hAnsi="Arial" w:cs="Arial"/>
                <w:color w:val="4D4D4D"/>
                <w:sz w:val="24"/>
                <w:szCs w:val="24"/>
                <w:u w:color="4D4D4D"/>
              </w:rPr>
              <w:br/>
            </w:r>
            <w:r>
              <w:rPr>
                <w:rStyle w:val="Ninguno"/>
                <w:rFonts w:ascii="Arial" w:hAnsi="Arial"/>
                <w:color w:val="4D4D4D"/>
                <w:sz w:val="24"/>
                <w:szCs w:val="24"/>
                <w:u w:color="4D4D4D"/>
                <w:shd w:val="clear" w:color="auto" w:fill="FFFFFF"/>
              </w:rPr>
              <w:t>• Introducir a los instrumentos de diseño urbano y para la participación social en los</w:t>
            </w:r>
            <w:r>
              <w:rPr>
                <w:rStyle w:val="Ninguno"/>
                <w:rFonts w:ascii="Arial" w:hAnsi="Arial"/>
                <w:color w:val="4D4D4D"/>
                <w:sz w:val="24"/>
                <w:szCs w:val="24"/>
                <w:u w:color="4D4D4D"/>
              </w:rPr>
              <w:t xml:space="preserve"> </w:t>
            </w:r>
            <w:r>
              <w:rPr>
                <w:rStyle w:val="Ninguno"/>
                <w:rFonts w:ascii="Arial" w:hAnsi="Arial"/>
                <w:color w:val="4D4D4D"/>
                <w:sz w:val="24"/>
                <w:szCs w:val="24"/>
                <w:u w:color="4D4D4D"/>
                <w:shd w:val="clear" w:color="auto" w:fill="FFFFFF"/>
              </w:rPr>
              <w:t>procesos de producción del espacio</w:t>
            </w:r>
            <w:r>
              <w:rPr>
                <w:rStyle w:val="Ninguno"/>
                <w:rFonts w:ascii="Raleway" w:eastAsia="Raleway" w:hAnsi="Raleway" w:cs="Raleway"/>
                <w:color w:val="4D4D4D"/>
                <w:sz w:val="24"/>
                <w:szCs w:val="24"/>
                <w:u w:color="4D4D4D"/>
                <w:shd w:val="clear" w:color="auto" w:fill="FFFFFF"/>
              </w:rPr>
              <w:t>.</w:t>
            </w:r>
          </w:p>
        </w:tc>
      </w:tr>
      <w:tr w:rsidR="00C420B0">
        <w:trPr>
          <w:trHeight w:val="5615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20B0" w:rsidRDefault="00321AC1">
            <w:pPr>
              <w:pStyle w:val="CuerpoA"/>
              <w:spacing w:after="0" w:line="240" w:lineRule="auto"/>
            </w:pPr>
            <w:r>
              <w:rPr>
                <w:rStyle w:val="Ninguno"/>
                <w:rFonts w:ascii="Arial" w:hAnsi="Arial"/>
                <w:sz w:val="24"/>
                <w:szCs w:val="24"/>
              </w:rPr>
              <w:lastRenderedPageBreak/>
              <w:t>Contenidos Mínimos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20B0" w:rsidRDefault="00321AC1">
            <w:r>
              <w:rPr>
                <w:rStyle w:val="Ninguno"/>
                <w:rFonts w:ascii="Arial" w:hAnsi="Arial"/>
                <w:color w:val="4D4D4D"/>
                <w:sz w:val="24"/>
                <w:szCs w:val="24"/>
                <w:u w:color="4D4D4D"/>
                <w:shd w:val="clear" w:color="auto" w:fill="FFFFFF"/>
              </w:rPr>
              <w:t>• La ciudad en la región: Planes y proyectos.</w:t>
            </w:r>
            <w:r>
              <w:rPr>
                <w:rStyle w:val="Ninguno"/>
                <w:rFonts w:ascii="Arial" w:eastAsia="Arial" w:hAnsi="Arial" w:cs="Arial"/>
                <w:color w:val="4D4D4D"/>
                <w:sz w:val="24"/>
                <w:szCs w:val="24"/>
                <w:u w:color="4D4D4D"/>
              </w:rPr>
              <w:br/>
            </w:r>
            <w:r>
              <w:rPr>
                <w:rStyle w:val="Ninguno"/>
                <w:rFonts w:ascii="Arial" w:hAnsi="Arial"/>
                <w:color w:val="4D4D4D"/>
                <w:sz w:val="24"/>
                <w:szCs w:val="24"/>
                <w:u w:color="4D4D4D"/>
                <w:shd w:val="clear" w:color="auto" w:fill="FFFFFF"/>
              </w:rPr>
              <w:t>• El concepto de región. Evolución histórica. La discusión actual.</w:t>
            </w:r>
            <w:r>
              <w:rPr>
                <w:rStyle w:val="Ninguno"/>
                <w:rFonts w:ascii="Arial" w:eastAsia="Arial" w:hAnsi="Arial" w:cs="Arial"/>
                <w:color w:val="4D4D4D"/>
                <w:sz w:val="24"/>
                <w:szCs w:val="24"/>
                <w:u w:color="4D4D4D"/>
              </w:rPr>
              <w:br/>
            </w:r>
            <w:r>
              <w:rPr>
                <w:rStyle w:val="Ninguno"/>
                <w:rFonts w:ascii="Arial" w:hAnsi="Arial"/>
                <w:color w:val="4D4D4D"/>
                <w:sz w:val="24"/>
                <w:szCs w:val="24"/>
                <w:u w:color="4D4D4D"/>
                <w:shd w:val="clear" w:color="auto" w:fill="FFFFFF"/>
              </w:rPr>
              <w:t>• El proceso de planificación urbano-regional. Instrumentos teórico-metodológicos.</w:t>
            </w:r>
            <w:r>
              <w:rPr>
                <w:rStyle w:val="Ninguno"/>
                <w:rFonts w:ascii="Arial" w:eastAsia="Arial" w:hAnsi="Arial" w:cs="Arial"/>
                <w:color w:val="4D4D4D"/>
                <w:sz w:val="24"/>
                <w:szCs w:val="24"/>
                <w:u w:color="4D4D4D"/>
              </w:rPr>
              <w:br/>
            </w:r>
            <w:r>
              <w:rPr>
                <w:rStyle w:val="Ninguno"/>
                <w:rFonts w:ascii="Arial" w:hAnsi="Arial"/>
                <w:color w:val="4D4D4D"/>
                <w:sz w:val="24"/>
                <w:szCs w:val="24"/>
                <w:u w:color="4D4D4D"/>
                <w:shd w:val="clear" w:color="auto" w:fill="FFFFFF"/>
              </w:rPr>
              <w:t>Alcances y restricciones.</w:t>
            </w:r>
            <w:r>
              <w:rPr>
                <w:rStyle w:val="Ninguno"/>
                <w:rFonts w:ascii="Arial" w:eastAsia="Arial" w:hAnsi="Arial" w:cs="Arial"/>
                <w:color w:val="4D4D4D"/>
                <w:sz w:val="24"/>
                <w:szCs w:val="24"/>
                <w:u w:color="4D4D4D"/>
              </w:rPr>
              <w:br/>
            </w:r>
            <w:r>
              <w:rPr>
                <w:rStyle w:val="Ninguno"/>
                <w:rFonts w:ascii="Arial" w:hAnsi="Arial"/>
                <w:color w:val="4D4D4D"/>
                <w:sz w:val="24"/>
                <w:szCs w:val="24"/>
                <w:u w:color="4D4D4D"/>
                <w:shd w:val="clear" w:color="auto" w:fill="FFFFFF"/>
              </w:rPr>
              <w:t>• El rol de los actores sociales en el proceso de planificación.</w:t>
            </w:r>
            <w:r>
              <w:rPr>
                <w:rStyle w:val="Ninguno"/>
                <w:rFonts w:ascii="Arial" w:eastAsia="Arial" w:hAnsi="Arial" w:cs="Arial"/>
                <w:color w:val="4D4D4D"/>
                <w:sz w:val="24"/>
                <w:szCs w:val="24"/>
                <w:u w:color="4D4D4D"/>
              </w:rPr>
              <w:br/>
            </w:r>
            <w:r>
              <w:rPr>
                <w:rStyle w:val="Ninguno"/>
                <w:rFonts w:ascii="Arial" w:hAnsi="Arial"/>
                <w:color w:val="4D4D4D"/>
                <w:sz w:val="24"/>
                <w:szCs w:val="24"/>
                <w:u w:color="4D4D4D"/>
                <w:shd w:val="clear" w:color="auto" w:fill="FFFFFF"/>
              </w:rPr>
              <w:t>• El diagnóstico urbano-regional. Instrumental teórico metodológico.</w:t>
            </w:r>
            <w:r>
              <w:rPr>
                <w:rStyle w:val="Ninguno"/>
                <w:rFonts w:ascii="Arial" w:eastAsia="Arial" w:hAnsi="Arial" w:cs="Arial"/>
                <w:color w:val="4D4D4D"/>
                <w:sz w:val="24"/>
                <w:szCs w:val="24"/>
                <w:u w:color="4D4D4D"/>
              </w:rPr>
              <w:br/>
            </w:r>
            <w:r>
              <w:rPr>
                <w:rStyle w:val="Ninguno"/>
                <w:rFonts w:ascii="Arial" w:hAnsi="Arial"/>
                <w:color w:val="4D4D4D"/>
                <w:sz w:val="24"/>
                <w:szCs w:val="24"/>
                <w:u w:color="4D4D4D"/>
                <w:shd w:val="clear" w:color="auto" w:fill="FFFFFF"/>
              </w:rPr>
              <w:t>• Estrategias de ordenamiento territorial.</w:t>
            </w:r>
            <w:r>
              <w:rPr>
                <w:rStyle w:val="Ninguno"/>
                <w:rFonts w:ascii="Arial" w:eastAsia="Arial" w:hAnsi="Arial" w:cs="Arial"/>
                <w:color w:val="4D4D4D"/>
                <w:sz w:val="24"/>
                <w:szCs w:val="24"/>
                <w:u w:color="4D4D4D"/>
              </w:rPr>
              <w:br/>
            </w:r>
            <w:r>
              <w:rPr>
                <w:rStyle w:val="Ninguno"/>
                <w:rFonts w:ascii="Arial" w:hAnsi="Arial"/>
                <w:color w:val="4D4D4D"/>
                <w:sz w:val="24"/>
                <w:szCs w:val="24"/>
                <w:u w:color="4D4D4D"/>
                <w:shd w:val="clear" w:color="auto" w:fill="FFFFFF"/>
              </w:rPr>
              <w:t>• La formulación de planes, programas y proyectos: instrumentos teórico-metodológicos.</w:t>
            </w:r>
            <w:r>
              <w:rPr>
                <w:rStyle w:val="Ninguno"/>
                <w:rFonts w:ascii="Arial" w:eastAsia="Arial" w:hAnsi="Arial" w:cs="Arial"/>
                <w:color w:val="4D4D4D"/>
                <w:sz w:val="24"/>
                <w:szCs w:val="24"/>
                <w:u w:color="4D4D4D"/>
              </w:rPr>
              <w:br/>
            </w:r>
            <w:r>
              <w:rPr>
                <w:rStyle w:val="Ninguno"/>
                <w:rFonts w:ascii="Arial" w:hAnsi="Arial"/>
                <w:color w:val="4D4D4D"/>
                <w:sz w:val="24"/>
                <w:szCs w:val="24"/>
                <w:u w:color="4D4D4D"/>
                <w:shd w:val="clear" w:color="auto" w:fill="FFFFFF"/>
              </w:rPr>
              <w:t>• La evaluación de las propuestas: instrumentos teórico-metodológicos.</w:t>
            </w:r>
            <w:r>
              <w:rPr>
                <w:rStyle w:val="Ninguno"/>
                <w:rFonts w:ascii="Arial" w:eastAsia="Arial" w:hAnsi="Arial" w:cs="Arial"/>
                <w:color w:val="4D4D4D"/>
                <w:sz w:val="24"/>
                <w:szCs w:val="24"/>
                <w:u w:color="4D4D4D"/>
              </w:rPr>
              <w:br/>
            </w:r>
            <w:r>
              <w:rPr>
                <w:rStyle w:val="Ninguno"/>
                <w:rFonts w:ascii="Arial" w:hAnsi="Arial"/>
                <w:color w:val="4D4D4D"/>
                <w:sz w:val="24"/>
                <w:szCs w:val="24"/>
                <w:u w:color="4D4D4D"/>
                <w:shd w:val="clear" w:color="auto" w:fill="FFFFFF"/>
              </w:rPr>
              <w:t>• La implementación de los planes: instrumentos teórico-metodológicos.</w:t>
            </w:r>
          </w:p>
        </w:tc>
      </w:tr>
    </w:tbl>
    <w:p w:rsidR="00C420B0" w:rsidRDefault="00C420B0">
      <w:pPr>
        <w:pStyle w:val="CuerpoA"/>
        <w:widowControl w:val="0"/>
        <w:numPr>
          <w:ilvl w:val="0"/>
          <w:numId w:val="3"/>
        </w:numPr>
        <w:spacing w:line="240" w:lineRule="auto"/>
        <w:jc w:val="both"/>
      </w:pPr>
    </w:p>
    <w:p w:rsidR="00C420B0" w:rsidRDefault="00C420B0">
      <w:pPr>
        <w:pStyle w:val="CuerpoA"/>
        <w:widowControl w:val="0"/>
        <w:spacing w:after="0" w:line="240" w:lineRule="auto"/>
        <w:ind w:left="2" w:hanging="2"/>
        <w:rPr>
          <w:rStyle w:val="Ninguno"/>
          <w:rFonts w:ascii="Arial" w:eastAsia="Arial" w:hAnsi="Arial" w:cs="Arial"/>
          <w:sz w:val="24"/>
          <w:szCs w:val="24"/>
        </w:rPr>
      </w:pPr>
    </w:p>
    <w:p w:rsidR="00C420B0" w:rsidRDefault="00C420B0">
      <w:pPr>
        <w:pStyle w:val="CuerpoA"/>
        <w:widowControl w:val="0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C420B0" w:rsidRDefault="00C420B0">
      <w:pPr>
        <w:pStyle w:val="CuerpoA"/>
        <w:widowControl w:val="0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C420B0" w:rsidRDefault="00321AC1">
      <w:pPr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2-Programa Analítico</w:t>
      </w:r>
      <w:r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  <w:i/>
          <w:iCs/>
        </w:rPr>
        <w:t>(Corresponde a la descripción del desarrollo de los contenidos mínimos en las diferentes bloques o unidades temáticas de la asignatura)</w:t>
      </w:r>
    </w:p>
    <w:p w:rsidR="00C420B0" w:rsidRDefault="00C420B0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C420B0" w:rsidRDefault="00321AC1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Completar hasta 3000 caracteres </w:t>
      </w:r>
    </w:p>
    <w:p w:rsidR="00C420B0" w:rsidRDefault="00C420B0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C420B0" w:rsidRDefault="00C420B0">
      <w:pPr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</w:p>
    <w:p w:rsidR="00C420B0" w:rsidRDefault="00321AC1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Modalidad de Enseñanza/aprendizaje</w:t>
      </w:r>
      <w:r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</w:rPr>
        <w:t>(</w:t>
      </w:r>
      <w:r>
        <w:rPr>
          <w:rStyle w:val="Ninguno"/>
          <w:rFonts w:ascii="Arial" w:hAnsi="Arial"/>
          <w:i/>
          <w:iCs/>
        </w:rPr>
        <w:t>Indicar características de las dinámicas y estrategias didácticas, señalando su pertenencia</w:t>
      </w:r>
      <w:r>
        <w:rPr>
          <w:rStyle w:val="Ninguno"/>
          <w:rFonts w:ascii="Arial" w:hAnsi="Arial"/>
          <w:i/>
          <w:iCs/>
          <w:shd w:val="clear" w:color="auto" w:fill="FFFF00"/>
        </w:rPr>
        <w:t xml:space="preserve"> </w:t>
      </w:r>
      <w:r>
        <w:rPr>
          <w:rStyle w:val="Ninguno"/>
          <w:rFonts w:ascii="Arial" w:hAnsi="Arial"/>
          <w:i/>
          <w:iCs/>
        </w:rPr>
        <w:t>en caso que la asignatura formase parte de una estructura de articulación vertical u  otras que se considere necesario)</w:t>
      </w:r>
      <w:r>
        <w:rPr>
          <w:rStyle w:val="Ninguno"/>
          <w:rFonts w:ascii="Arial" w:hAnsi="Arial"/>
          <w:i/>
          <w:iCs/>
          <w:shd w:val="clear" w:color="auto" w:fill="FFFFFF"/>
        </w:rPr>
        <w:t>.</w:t>
      </w:r>
    </w:p>
    <w:p w:rsidR="00C420B0" w:rsidRDefault="00321AC1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Completar hasta 1500-750 caracteres</w:t>
      </w:r>
    </w:p>
    <w:p w:rsidR="00C420B0" w:rsidRDefault="00321AC1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 </w:t>
      </w:r>
    </w:p>
    <w:p w:rsidR="00C420B0" w:rsidRDefault="00C420B0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C420B0" w:rsidRDefault="00321AC1">
      <w:pPr>
        <w:pStyle w:val="Prrafodelista"/>
        <w:numPr>
          <w:ilvl w:val="0"/>
          <w:numId w:val="5"/>
        </w:numPr>
        <w:spacing w:after="200" w:line="276" w:lineRule="auto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Actividades teóricas y prácticas</w:t>
      </w:r>
      <w:r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</w:rPr>
        <w:t xml:space="preserve">( </w:t>
      </w:r>
      <w:r>
        <w:rPr>
          <w:rStyle w:val="Ninguno"/>
          <w:rFonts w:ascii="Arial" w:hAnsi="Arial"/>
          <w:i/>
          <w:iCs/>
        </w:rPr>
        <w:t>corresponde a las  descripción genérica del desarrollo de las actividades en relación al programa analítico detallado</w:t>
      </w:r>
      <w:r>
        <w:rPr>
          <w:rStyle w:val="Ninguno"/>
          <w:rFonts w:ascii="Arial" w:hAnsi="Arial"/>
        </w:rPr>
        <w:t xml:space="preserve"> )</w:t>
      </w:r>
    </w:p>
    <w:p w:rsidR="00C420B0" w:rsidRDefault="00C420B0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C420B0" w:rsidRDefault="00321AC1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Completar hasta 1500 caracteres</w:t>
      </w:r>
    </w:p>
    <w:p w:rsidR="00C420B0" w:rsidRDefault="00C420B0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C420B0" w:rsidRDefault="00C420B0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C420B0" w:rsidRDefault="00321AC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Formas de evaluación</w:t>
      </w:r>
      <w:r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</w:rPr>
        <w:t>(</w:t>
      </w:r>
      <w:r>
        <w:rPr>
          <w:rStyle w:val="Ninguno"/>
          <w:rFonts w:ascii="Arial" w:hAnsi="Arial"/>
          <w:i/>
          <w:iCs/>
        </w:rPr>
        <w:t xml:space="preserve">Indicar las diferentes instancias de seguimiento y evaluación consideradas) </w:t>
      </w:r>
    </w:p>
    <w:p w:rsidR="00C420B0" w:rsidRDefault="00C420B0">
      <w:pPr>
        <w:pStyle w:val="Prrafodelista"/>
        <w:spacing w:after="0" w:line="240" w:lineRule="auto"/>
        <w:ind w:left="330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</w:p>
    <w:p w:rsidR="00C420B0" w:rsidRDefault="00321AC1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Completar hasta 1500 caracteres</w:t>
      </w:r>
    </w:p>
    <w:p w:rsidR="00C420B0" w:rsidRDefault="00C420B0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C420B0" w:rsidRDefault="00C420B0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C420B0" w:rsidRDefault="00321AC1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 xml:space="preserve">Bibliografía </w:t>
      </w:r>
      <w:r>
        <w:rPr>
          <w:rStyle w:val="Ninguno"/>
          <w:rFonts w:ascii="Arial" w:hAnsi="Arial"/>
          <w:b/>
          <w:bCs/>
          <w:sz w:val="24"/>
          <w:szCs w:val="24"/>
          <w:u w:color="FF0000"/>
        </w:rPr>
        <w:t>General</w:t>
      </w:r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 </w:t>
      </w:r>
      <w:r>
        <w:rPr>
          <w:rStyle w:val="Ninguno"/>
          <w:rFonts w:ascii="Arial" w:hAnsi="Arial"/>
          <w:shd w:val="clear" w:color="auto" w:fill="FFFFFF"/>
        </w:rPr>
        <w:t>(</w:t>
      </w:r>
      <w:r>
        <w:rPr>
          <w:rStyle w:val="Ninguno"/>
          <w:rFonts w:ascii="Arial" w:hAnsi="Arial"/>
          <w:i/>
          <w:iCs/>
          <w:shd w:val="clear" w:color="auto" w:fill="FFFFFF"/>
        </w:rPr>
        <w:t>Especificar para cada referencia datos de: autor/es, año de edición, título, editorial y lugar de edición).</w:t>
      </w:r>
    </w:p>
    <w:p w:rsidR="00C420B0" w:rsidRDefault="00C420B0">
      <w:pPr>
        <w:pStyle w:val="Prrafodelista"/>
        <w:spacing w:after="0" w:line="240" w:lineRule="auto"/>
        <w:ind w:left="330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</w:p>
    <w:p w:rsidR="00C420B0" w:rsidRDefault="00321AC1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Completar hasta 1500 caracteres</w:t>
      </w:r>
    </w:p>
    <w:p w:rsidR="00C420B0" w:rsidRDefault="00C420B0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C420B0" w:rsidRDefault="00C420B0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C420B0" w:rsidRDefault="00C420B0">
      <w:pPr>
        <w:pStyle w:val="Prrafodelista"/>
        <w:spacing w:after="0" w:line="240" w:lineRule="auto"/>
        <w:ind w:left="356"/>
        <w:jc w:val="both"/>
        <w:rPr>
          <w:rStyle w:val="Ninguno"/>
          <w:rFonts w:ascii="Arial" w:eastAsia="Arial" w:hAnsi="Arial" w:cs="Arial"/>
          <w:sz w:val="24"/>
          <w:szCs w:val="24"/>
          <w:shd w:val="clear" w:color="auto" w:fill="FFFFFF"/>
        </w:rPr>
      </w:pPr>
    </w:p>
    <w:p w:rsidR="00C420B0" w:rsidRDefault="00321AC1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 xml:space="preserve">Bibliografía Complementaria </w:t>
      </w:r>
      <w:r>
        <w:rPr>
          <w:rStyle w:val="Ninguno"/>
          <w:rFonts w:ascii="Arial" w:hAnsi="Arial"/>
          <w:shd w:val="clear" w:color="auto" w:fill="FFFFFF"/>
        </w:rPr>
        <w:t>(</w:t>
      </w:r>
      <w:r>
        <w:rPr>
          <w:rStyle w:val="Ninguno"/>
          <w:rFonts w:ascii="Arial" w:hAnsi="Arial"/>
          <w:i/>
          <w:iCs/>
          <w:shd w:val="clear" w:color="auto" w:fill="FFFFFF"/>
        </w:rPr>
        <w:t>Especificar para cada referencia datos de autor/es, año de edición, título, editorial y lugar de edición</w:t>
      </w:r>
      <w:r>
        <w:rPr>
          <w:rStyle w:val="Ninguno"/>
          <w:rFonts w:ascii="Arial" w:hAnsi="Arial"/>
          <w:shd w:val="clear" w:color="auto" w:fill="FFFFFF"/>
        </w:rPr>
        <w:t>).</w:t>
      </w:r>
    </w:p>
    <w:p w:rsidR="00C420B0" w:rsidRDefault="00C420B0">
      <w:pPr>
        <w:pStyle w:val="CuerpoA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shd w:val="clear" w:color="auto" w:fill="FFFFFF"/>
        </w:rPr>
      </w:pPr>
    </w:p>
    <w:p w:rsidR="00C420B0" w:rsidRDefault="00321AC1">
      <w:pPr>
        <w:pStyle w:val="Cuerpo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Completar hasta 1500 caracteres</w:t>
      </w:r>
    </w:p>
    <w:p w:rsidR="00C420B0" w:rsidRDefault="00C420B0">
      <w:pPr>
        <w:pStyle w:val="CuerpoA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shd w:val="clear" w:color="auto" w:fill="FFFFFF"/>
        </w:rPr>
      </w:pPr>
    </w:p>
    <w:p w:rsidR="00C420B0" w:rsidRDefault="00C420B0">
      <w:pPr>
        <w:pStyle w:val="CuerpoA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shd w:val="clear" w:color="auto" w:fill="FFFFFF"/>
        </w:rPr>
      </w:pPr>
    </w:p>
    <w:p w:rsidR="00C420B0" w:rsidRDefault="00321AC1">
      <w:pPr>
        <w:pStyle w:val="CuerpoA"/>
        <w:jc w:val="both"/>
        <w:rPr>
          <w:rStyle w:val="Ninguno"/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/>
          <w:b/>
          <w:bCs/>
          <w:sz w:val="24"/>
          <w:szCs w:val="24"/>
          <w:shd w:val="clear" w:color="auto" w:fill="FFFFFF"/>
        </w:rPr>
        <w:t xml:space="preserve">Nota sobre carga de 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shd w:val="clear" w:color="auto" w:fill="FFFFFF"/>
        </w:rPr>
        <w:t>informació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shd w:val="clear" w:color="auto" w:fill="FFFFFF"/>
          <w:lang w:val="de-DE"/>
        </w:rPr>
        <w:t>n:</w:t>
      </w:r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 </w:t>
      </w:r>
    </w:p>
    <w:p w:rsidR="00C420B0" w:rsidRDefault="00321AC1">
      <w:pPr>
        <w:pStyle w:val="CuerpoA"/>
        <w:jc w:val="both"/>
        <w:rPr>
          <w:rStyle w:val="Ninguno"/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Los mismos serán cargados con tipografía </w:t>
      </w:r>
      <w:proofErr w:type="spellStart"/>
      <w:r>
        <w:rPr>
          <w:rStyle w:val="Ninguno"/>
          <w:rFonts w:ascii="Arial" w:hAnsi="Arial"/>
          <w:sz w:val="24"/>
          <w:szCs w:val="24"/>
          <w:shd w:val="clear" w:color="auto" w:fill="FFFFFF"/>
        </w:rPr>
        <w:t>arial</w:t>
      </w:r>
      <w:proofErr w:type="spellEnd"/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 12, interlineado sencillo según la cantidad de caracteres especificados en cada ítem. Se solicita omitir la incorporación de piezas gráficas</w:t>
      </w:r>
      <w:r>
        <w:rPr>
          <w:rStyle w:val="Ninguno"/>
          <w:rFonts w:ascii="Arial" w:hAnsi="Arial"/>
          <w:sz w:val="24"/>
          <w:szCs w:val="24"/>
          <w:shd w:val="clear" w:color="auto" w:fill="FFFFFF"/>
          <w:lang w:val="pt-PT"/>
        </w:rPr>
        <w:t xml:space="preserve"> o im</w:t>
      </w:r>
      <w:proofErr w:type="spellStart"/>
      <w:r>
        <w:rPr>
          <w:rStyle w:val="Ninguno"/>
          <w:rFonts w:ascii="Arial" w:hAnsi="Arial"/>
          <w:sz w:val="24"/>
          <w:szCs w:val="24"/>
          <w:shd w:val="clear" w:color="auto" w:fill="FFFFFF"/>
        </w:rPr>
        <w:t>ágenes</w:t>
      </w:r>
      <w:proofErr w:type="spellEnd"/>
      <w:r>
        <w:rPr>
          <w:rStyle w:val="Ninguno"/>
          <w:rFonts w:ascii="Arial" w:hAnsi="Arial"/>
          <w:sz w:val="24"/>
          <w:szCs w:val="24"/>
          <w:shd w:val="clear" w:color="auto" w:fill="FFFFFF"/>
        </w:rPr>
        <w:t xml:space="preserve">. </w:t>
      </w:r>
    </w:p>
    <w:p w:rsidR="00C420B0" w:rsidRDefault="00C420B0">
      <w:pPr>
        <w:pStyle w:val="CuerpoA"/>
        <w:jc w:val="both"/>
      </w:pPr>
    </w:p>
    <w:sectPr w:rsidR="00C420B0">
      <w:headerReference w:type="default" r:id="rId7"/>
      <w:footerReference w:type="default" r:id="rId8"/>
      <w:pgSz w:w="12240" w:h="15840"/>
      <w:pgMar w:top="2127" w:right="104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64E" w:rsidRDefault="0022664E">
      <w:pPr>
        <w:spacing w:after="0" w:line="240" w:lineRule="auto"/>
      </w:pPr>
      <w:r>
        <w:separator/>
      </w:r>
    </w:p>
  </w:endnote>
  <w:endnote w:type="continuationSeparator" w:id="0">
    <w:p w:rsidR="0022664E" w:rsidRDefault="00226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imes New Roman"/>
    <w:charset w:val="00"/>
    <w:family w:val="roman"/>
    <w:pitch w:val="default"/>
  </w:font>
  <w:font w:name="Open Sans">
    <w:altName w:val="Times New Roman"/>
    <w:charset w:val="00"/>
    <w:family w:val="roman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0B0" w:rsidRDefault="00C420B0">
    <w:pPr>
      <w:pStyle w:val="Piedepgina"/>
      <w:pBdr>
        <w:top w:val="single" w:sz="4" w:space="0" w:color="000000"/>
      </w:pBdr>
      <w:spacing w:line="276" w:lineRule="auto"/>
      <w:jc w:val="center"/>
      <w:rPr>
        <w:rStyle w:val="Ninguno"/>
        <w:rFonts w:ascii="Open Sans" w:eastAsia="Open Sans" w:hAnsi="Open Sans" w:cs="Open Sans"/>
        <w:i/>
        <w:iCs/>
        <w:sz w:val="16"/>
        <w:szCs w:val="16"/>
      </w:rPr>
    </w:pPr>
  </w:p>
  <w:p w:rsidR="00C420B0" w:rsidRDefault="00321AC1">
    <w:pPr>
      <w:pStyle w:val="Piedepgina"/>
      <w:spacing w:line="276" w:lineRule="auto"/>
      <w:jc w:val="center"/>
    </w:pPr>
    <w:r>
      <w:rPr>
        <w:rStyle w:val="Ninguno"/>
        <w:rFonts w:ascii="Courier New" w:hAnsi="Courier New"/>
        <w:i/>
        <w:iCs/>
        <w:sz w:val="14"/>
        <w:szCs w:val="14"/>
      </w:rPr>
      <w:t xml:space="preserve">47 n° 162 | CP. 1900 |La Plata | Buenos Aires | República Argentina | Tel.:4236587 al 90 |  </w:t>
    </w:r>
    <w:hyperlink r:id="rId1" w:history="1">
      <w:r>
        <w:rPr>
          <w:rStyle w:val="Hyperlink0"/>
        </w:rPr>
        <w:t>fau@fau.unlp.edu.ar</w:t>
      </w:r>
    </w:hyperlink>
    <w:r>
      <w:rPr>
        <w:rStyle w:val="Ninguno"/>
        <w:rFonts w:ascii="Courier New" w:hAnsi="Courier New"/>
        <w:i/>
        <w:iCs/>
        <w:sz w:val="14"/>
        <w:szCs w:val="14"/>
      </w:rPr>
      <w:t xml:space="preserve"> |  </w:t>
    </w:r>
    <w:hyperlink r:id="rId2" w:history="1">
      <w:r>
        <w:rPr>
          <w:rStyle w:val="Hyperlink0"/>
        </w:rPr>
        <w:t>www.fau.unlp.edu.ar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64E" w:rsidRDefault="0022664E">
      <w:pPr>
        <w:spacing w:after="0" w:line="240" w:lineRule="auto"/>
      </w:pPr>
      <w:r>
        <w:separator/>
      </w:r>
    </w:p>
  </w:footnote>
  <w:footnote w:type="continuationSeparator" w:id="0">
    <w:p w:rsidR="0022664E" w:rsidRDefault="00226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0B0" w:rsidRDefault="00321AC1">
    <w:pPr>
      <w:pStyle w:val="Encabezado"/>
      <w:tabs>
        <w:tab w:val="left" w:pos="8998"/>
      </w:tabs>
      <w:jc w:val="right"/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4557395</wp:posOffset>
          </wp:positionH>
          <wp:positionV relativeFrom="page">
            <wp:posOffset>281254</wp:posOffset>
          </wp:positionV>
          <wp:extent cx="2167255" cy="419100"/>
          <wp:effectExtent l="0" t="0" r="0" b="0"/>
          <wp:wrapNone/>
          <wp:docPr id="1073741825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35122" r="3396" b="23414"/>
                  <a:stretch>
                    <a:fillRect/>
                  </a:stretch>
                </pic:blipFill>
                <pic:spPr>
                  <a:xfrm>
                    <a:off x="0" y="0"/>
                    <a:ext cx="2167255" cy="419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72BC7"/>
    <w:multiLevelType w:val="hybridMultilevel"/>
    <w:tmpl w:val="93B89790"/>
    <w:numStyleLink w:val="Estiloimportado2"/>
  </w:abstractNum>
  <w:abstractNum w:abstractNumId="1">
    <w:nsid w:val="363146AD"/>
    <w:multiLevelType w:val="hybridMultilevel"/>
    <w:tmpl w:val="766ED90C"/>
    <w:numStyleLink w:val="Estiloimportado3"/>
  </w:abstractNum>
  <w:abstractNum w:abstractNumId="2">
    <w:nsid w:val="36DD74CE"/>
    <w:multiLevelType w:val="hybridMultilevel"/>
    <w:tmpl w:val="93B89790"/>
    <w:styleLink w:val="Estiloimportado2"/>
    <w:lvl w:ilvl="0" w:tplc="18B65264">
      <w:start w:val="1"/>
      <w:numFmt w:val="decimal"/>
      <w:lvlText w:val="%1."/>
      <w:lvlJc w:val="left"/>
      <w:pPr>
        <w:tabs>
          <w:tab w:val="num" w:pos="708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82C9622">
      <w:start w:val="1"/>
      <w:numFmt w:val="lowerLetter"/>
      <w:lvlText w:val="%2."/>
      <w:lvlJc w:val="left"/>
      <w:pPr>
        <w:tabs>
          <w:tab w:val="num" w:pos="1416"/>
        </w:tabs>
        <w:ind w:left="142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46A266">
      <w:start w:val="1"/>
      <w:numFmt w:val="lowerRoman"/>
      <w:lvlText w:val="%3."/>
      <w:lvlJc w:val="left"/>
      <w:pPr>
        <w:tabs>
          <w:tab w:val="num" w:pos="2124"/>
        </w:tabs>
        <w:ind w:left="2136" w:hanging="6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CEDBC0">
      <w:start w:val="1"/>
      <w:numFmt w:val="decimal"/>
      <w:lvlText w:val="%4."/>
      <w:lvlJc w:val="left"/>
      <w:pPr>
        <w:tabs>
          <w:tab w:val="num" w:pos="2832"/>
        </w:tabs>
        <w:ind w:left="2844" w:hanging="6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886BEC">
      <w:start w:val="1"/>
      <w:numFmt w:val="lowerLetter"/>
      <w:lvlText w:val="%5."/>
      <w:lvlJc w:val="left"/>
      <w:pPr>
        <w:tabs>
          <w:tab w:val="num" w:pos="3540"/>
        </w:tabs>
        <w:ind w:left="3552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7B882AC">
      <w:start w:val="1"/>
      <w:numFmt w:val="lowerRoman"/>
      <w:lvlText w:val="%6."/>
      <w:lvlJc w:val="left"/>
      <w:pPr>
        <w:tabs>
          <w:tab w:val="num" w:pos="4248"/>
        </w:tabs>
        <w:ind w:left="4260" w:hanging="6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B748CD2">
      <w:start w:val="1"/>
      <w:numFmt w:val="decimal"/>
      <w:lvlText w:val="%7."/>
      <w:lvlJc w:val="left"/>
      <w:pPr>
        <w:tabs>
          <w:tab w:val="num" w:pos="4956"/>
        </w:tabs>
        <w:ind w:left="4968" w:hanging="6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580A06">
      <w:start w:val="1"/>
      <w:numFmt w:val="lowerLetter"/>
      <w:lvlText w:val="%8."/>
      <w:lvlJc w:val="left"/>
      <w:pPr>
        <w:tabs>
          <w:tab w:val="num" w:pos="5664"/>
        </w:tabs>
        <w:ind w:left="5676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FEBF32">
      <w:start w:val="1"/>
      <w:numFmt w:val="lowerRoman"/>
      <w:lvlText w:val="%9."/>
      <w:lvlJc w:val="left"/>
      <w:pPr>
        <w:tabs>
          <w:tab w:val="num" w:pos="6372"/>
        </w:tabs>
        <w:ind w:left="6384" w:hanging="5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9427BD7"/>
    <w:multiLevelType w:val="hybridMultilevel"/>
    <w:tmpl w:val="766ED90C"/>
    <w:styleLink w:val="Estiloimportado3"/>
    <w:lvl w:ilvl="0" w:tplc="36023310">
      <w:start w:val="1"/>
      <w:numFmt w:val="decimal"/>
      <w:lvlText w:val="%1."/>
      <w:lvlJc w:val="left"/>
      <w:pPr>
        <w:ind w:left="708" w:hanging="70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2CE0B30">
      <w:start w:val="1"/>
      <w:numFmt w:val="lowerLetter"/>
      <w:lvlText w:val="%2."/>
      <w:lvlJc w:val="left"/>
      <w:pPr>
        <w:ind w:left="720" w:hanging="69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D0F648">
      <w:start w:val="1"/>
      <w:numFmt w:val="lowerRoman"/>
      <w:lvlText w:val="%3."/>
      <w:lvlJc w:val="left"/>
      <w:pPr>
        <w:ind w:left="1440" w:hanging="63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3A69944">
      <w:start w:val="1"/>
      <w:numFmt w:val="decimal"/>
      <w:lvlText w:val="%4."/>
      <w:lvlJc w:val="left"/>
      <w:pPr>
        <w:ind w:left="2160" w:hanging="67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5201E4">
      <w:start w:val="1"/>
      <w:numFmt w:val="lowerLetter"/>
      <w:lvlText w:val="%5."/>
      <w:lvlJc w:val="left"/>
      <w:pPr>
        <w:ind w:left="2880" w:hanging="6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24E3C4">
      <w:start w:val="1"/>
      <w:numFmt w:val="lowerRoman"/>
      <w:lvlText w:val="%6."/>
      <w:lvlJc w:val="left"/>
      <w:pPr>
        <w:ind w:left="3600" w:hanging="60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DDAD392">
      <w:start w:val="1"/>
      <w:numFmt w:val="decimal"/>
      <w:lvlText w:val="%7."/>
      <w:lvlJc w:val="left"/>
      <w:pPr>
        <w:ind w:left="4320" w:hanging="63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84B046">
      <w:start w:val="1"/>
      <w:numFmt w:val="lowerLetter"/>
      <w:lvlText w:val="%8."/>
      <w:lvlJc w:val="left"/>
      <w:pPr>
        <w:ind w:left="5040" w:hanging="6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B49464">
      <w:start w:val="1"/>
      <w:numFmt w:val="lowerRoman"/>
      <w:lvlText w:val="%9."/>
      <w:lvlJc w:val="left"/>
      <w:pPr>
        <w:ind w:left="5760" w:hanging="56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5F4C603A">
        <w:start w:val="1"/>
        <w:numFmt w:val="decimal"/>
        <w:lvlText w:val="%1."/>
        <w:lvlJc w:val="left"/>
        <w:pPr>
          <w:tabs>
            <w:tab w:val="num" w:pos="649"/>
          </w:tabs>
          <w:ind w:left="759" w:hanging="7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DAB4DC">
        <w:start w:val="1"/>
        <w:numFmt w:val="lowerLetter"/>
        <w:lvlText w:val="%2."/>
        <w:lvlJc w:val="left"/>
        <w:pPr>
          <w:tabs>
            <w:tab w:val="num" w:pos="1358"/>
          </w:tabs>
          <w:ind w:left="1468" w:hanging="7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2877DA">
        <w:start w:val="1"/>
        <w:numFmt w:val="lowerRoman"/>
        <w:lvlText w:val="%3."/>
        <w:lvlJc w:val="left"/>
        <w:pPr>
          <w:tabs>
            <w:tab w:val="num" w:pos="2071"/>
          </w:tabs>
          <w:ind w:left="2181" w:hanging="6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9A765C">
        <w:start w:val="1"/>
        <w:numFmt w:val="decimal"/>
        <w:lvlText w:val="%4."/>
        <w:lvlJc w:val="left"/>
        <w:pPr>
          <w:tabs>
            <w:tab w:val="num" w:pos="2776"/>
          </w:tabs>
          <w:ind w:left="2886" w:hanging="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92A4F8">
        <w:start w:val="1"/>
        <w:numFmt w:val="lowerLetter"/>
        <w:lvlText w:val="%5."/>
        <w:lvlJc w:val="left"/>
        <w:pPr>
          <w:tabs>
            <w:tab w:val="num" w:pos="3485"/>
          </w:tabs>
          <w:ind w:left="3595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F4A25A">
        <w:start w:val="1"/>
        <w:numFmt w:val="lowerRoman"/>
        <w:lvlText w:val="%6."/>
        <w:lvlJc w:val="left"/>
        <w:pPr>
          <w:tabs>
            <w:tab w:val="num" w:pos="4198"/>
          </w:tabs>
          <w:ind w:left="4308" w:hanging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44696E">
        <w:start w:val="1"/>
        <w:numFmt w:val="decimal"/>
        <w:lvlText w:val="%7."/>
        <w:lvlJc w:val="left"/>
        <w:pPr>
          <w:tabs>
            <w:tab w:val="num" w:pos="4903"/>
          </w:tabs>
          <w:ind w:left="5013" w:hanging="6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1A3816">
        <w:start w:val="1"/>
        <w:numFmt w:val="lowerLetter"/>
        <w:lvlText w:val="%8."/>
        <w:lvlJc w:val="left"/>
        <w:pPr>
          <w:tabs>
            <w:tab w:val="num" w:pos="5612"/>
          </w:tabs>
          <w:ind w:left="5722" w:hanging="6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FC6E72">
        <w:start w:val="1"/>
        <w:numFmt w:val="lowerRoman"/>
        <w:lvlText w:val="%9."/>
        <w:lvlJc w:val="left"/>
        <w:pPr>
          <w:tabs>
            <w:tab w:val="num" w:pos="6325"/>
          </w:tabs>
          <w:ind w:left="6435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3"/>
    </w:lvlOverride>
  </w:num>
  <w:num w:numId="7">
    <w:abstractNumId w:val="1"/>
    <w:lvlOverride w:ilvl="0">
      <w:lvl w:ilvl="0" w:tplc="3FCCFD8C">
        <w:start w:val="1"/>
        <w:numFmt w:val="decimal"/>
        <w:lvlText w:val="%1."/>
        <w:lvlJc w:val="left"/>
        <w:pPr>
          <w:ind w:left="566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E4352C">
        <w:start w:val="1"/>
        <w:numFmt w:val="lowerLetter"/>
        <w:lvlText w:val="%2."/>
        <w:lvlJc w:val="left"/>
        <w:pPr>
          <w:ind w:left="720" w:hanging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AC4C1A4">
        <w:start w:val="1"/>
        <w:numFmt w:val="lowerRoman"/>
        <w:lvlText w:val="%3."/>
        <w:lvlJc w:val="left"/>
        <w:pPr>
          <w:ind w:left="1440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7EB6CC">
        <w:start w:val="1"/>
        <w:numFmt w:val="decimal"/>
        <w:lvlText w:val="%4."/>
        <w:lvlJc w:val="left"/>
        <w:pPr>
          <w:ind w:left="2160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48B71C">
        <w:start w:val="1"/>
        <w:numFmt w:val="lowerLetter"/>
        <w:lvlText w:val="%5."/>
        <w:lvlJc w:val="left"/>
        <w:pPr>
          <w:ind w:left="2880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AEB2C2">
        <w:start w:val="1"/>
        <w:numFmt w:val="lowerRoman"/>
        <w:lvlText w:val="%6."/>
        <w:lvlJc w:val="left"/>
        <w:pPr>
          <w:ind w:left="3600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8CCBF2">
        <w:start w:val="1"/>
        <w:numFmt w:val="decimal"/>
        <w:lvlText w:val="%7."/>
        <w:lvlJc w:val="left"/>
        <w:pPr>
          <w:ind w:left="4320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5322E88">
        <w:start w:val="1"/>
        <w:numFmt w:val="lowerLetter"/>
        <w:lvlText w:val="%8."/>
        <w:lvlJc w:val="left"/>
        <w:pPr>
          <w:ind w:left="50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98DF4E">
        <w:start w:val="1"/>
        <w:numFmt w:val="lowerRoman"/>
        <w:lvlText w:val="%9."/>
        <w:lvlJc w:val="left"/>
        <w:pPr>
          <w:ind w:left="576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B0"/>
    <w:rsid w:val="0022664E"/>
    <w:rsid w:val="00321AC1"/>
    <w:rsid w:val="008D0106"/>
    <w:rsid w:val="00C420B0"/>
    <w:rsid w:val="00E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3B154-4E0B-4F64-9AB0-32786274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Hyperlink0">
    <w:name w:val="Hyperlink.0"/>
    <w:basedOn w:val="Ninguno"/>
    <w:rPr>
      <w:rFonts w:ascii="Courier New" w:eastAsia="Courier New" w:hAnsi="Courier New" w:cs="Courier New"/>
      <w:sz w:val="14"/>
      <w:szCs w:val="14"/>
      <w:lang w:val="es-ES_tradnl"/>
    </w:rPr>
  </w:style>
  <w:style w:type="paragraph" w:customStyle="1" w:styleId="CuerpoA">
    <w:name w:val="Cue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1"/>
      </w:numPr>
    </w:pPr>
  </w:style>
  <w:style w:type="paragraph" w:styleId="Prrafodelista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3">
    <w:name w:val="Estilo importado 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u.unlp.edu.ar" TargetMode="External"/><Relationship Id="rId1" Type="http://schemas.openxmlformats.org/officeDocument/2006/relationships/hyperlink" Target="mailto:fau@fau.unlp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4</cp:revision>
  <dcterms:created xsi:type="dcterms:W3CDTF">2023-03-27T11:38:00Z</dcterms:created>
  <dcterms:modified xsi:type="dcterms:W3CDTF">2023-03-27T11:52:00Z</dcterms:modified>
</cp:coreProperties>
</file>