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D6" w:rsidRDefault="001C25D5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7919FB">
        <w:rPr>
          <w:rStyle w:val="Ninguno"/>
          <w:rFonts w:ascii="Arial" w:hAnsi="Arial"/>
          <w:b/>
          <w:sz w:val="24"/>
          <w:szCs w:val="24"/>
        </w:rPr>
        <w:t>FICHA DE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bookmarkStart w:id="0" w:name="_Hlk104905032"/>
      <w:r>
        <w:rPr>
          <w:rStyle w:val="Ninguno"/>
          <w:rFonts w:ascii="Arial" w:hAnsi="Arial"/>
          <w:b/>
          <w:bCs/>
          <w:sz w:val="24"/>
          <w:szCs w:val="24"/>
        </w:rPr>
        <w:t xml:space="preserve">PROGRAMA  </w:t>
      </w:r>
      <w:bookmarkStart w:id="1" w:name="_GoBack"/>
      <w:bookmarkEnd w:id="1"/>
    </w:p>
    <w:p w:rsidR="000804D6" w:rsidRDefault="001C25D5">
      <w:pPr>
        <w:pStyle w:val="CuerpoA"/>
        <w:numPr>
          <w:ilvl w:val="0"/>
          <w:numId w:val="2"/>
        </w:numPr>
        <w:jc w:val="both"/>
        <w:rPr>
          <w:rFonts w:ascii="Arial" w:hAnsi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Datos de la asignatura  </w:t>
      </w:r>
      <w:bookmarkEnd w:id="0"/>
    </w:p>
    <w:tbl>
      <w:tblPr>
        <w:tblStyle w:val="TableNormal"/>
        <w:tblW w:w="8838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3"/>
        <w:gridCol w:w="6735"/>
      </w:tblGrid>
      <w:tr w:rsidR="000804D6">
        <w:trPr>
          <w:trHeight w:val="82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pStyle w:val="CuerpoA"/>
              <w:spacing w:after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Área de Conocimiento </w:t>
            </w:r>
          </w:p>
          <w:p w:rsidR="000804D6" w:rsidRDefault="001C25D5">
            <w:pPr>
              <w:pStyle w:val="CuerpoA"/>
              <w:spacing w:after="0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PLANEAMIENTO / Ciclo Medio </w:t>
            </w:r>
          </w:p>
        </w:tc>
      </w:tr>
      <w:tr w:rsidR="000804D6">
        <w:trPr>
          <w:trHeight w:val="58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pStyle w:val="CuerpoA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Nombre de la Asignatura PLANIFICACION TERRITORIAL I</w:t>
            </w:r>
          </w:p>
          <w:p w:rsidR="000804D6" w:rsidRDefault="001C25D5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0804D6">
        <w:trPr>
          <w:trHeight w:val="8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spacing w:after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ANUAL (código 642)</w:t>
            </w:r>
          </w:p>
          <w:p w:rsidR="000804D6" w:rsidRDefault="001C25D5">
            <w:pPr>
              <w:spacing w:after="0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Cursada con </w:t>
            </w:r>
            <w:proofErr w:type="spellStart"/>
            <w:r>
              <w:rPr>
                <w:rStyle w:val="Ninguno"/>
                <w:rFonts w:ascii="Arial" w:hAnsi="Arial"/>
                <w:sz w:val="24"/>
                <w:szCs w:val="24"/>
              </w:rPr>
              <w:t>exámen</w:t>
            </w:r>
            <w:proofErr w:type="spellEnd"/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final.</w:t>
            </w:r>
          </w:p>
        </w:tc>
      </w:tr>
      <w:tr w:rsidR="000804D6">
        <w:trPr>
          <w:trHeight w:val="5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0804D6"/>
        </w:tc>
      </w:tr>
      <w:tr w:rsidR="000804D6">
        <w:trPr>
          <w:trHeight w:val="5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spacing w:after="0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112</w:t>
            </w:r>
          </w:p>
        </w:tc>
      </w:tr>
      <w:tr w:rsidR="000804D6">
        <w:trPr>
          <w:trHeight w:val="438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pStyle w:val="NormalWeb"/>
              <w:spacing w:before="0" w:after="24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-  Analizar los sistemas constitutivos y sus emergentes formales considerando las ciudades como nodos de un sistema territorial y sus espacios como consecuencia de procesos socio-económicos, políticos, tecnológicos, culturales (incluyendo la Arquitectura).</w:t>
            </w:r>
          </w:p>
          <w:p w:rsidR="000804D6" w:rsidRDefault="001C25D5">
            <w:pPr>
              <w:pStyle w:val="NormalWeb"/>
              <w:spacing w:before="0" w:after="24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 - Introducir a los instrumentos de base para la realización de diagnósticos generales y sectoriales, la formulación de planes en sus distintas escalas y modalidades así como proyectos urbanísticos particularizados.</w:t>
            </w:r>
          </w:p>
          <w:p w:rsidR="000804D6" w:rsidRDefault="001C25D5">
            <w:pPr>
              <w:pStyle w:val="NormalWeb"/>
              <w:spacing w:before="0" w:after="240"/>
            </w:pPr>
            <w:r>
              <w:rPr>
                <w:rStyle w:val="Ninguno"/>
                <w:rFonts w:ascii="Arial" w:hAnsi="Arial"/>
              </w:rPr>
              <w:t>- Identificar los campos disciplinares del arquitecto en urbanismo y planificación en relación a las incumbencias profesionales.</w:t>
            </w:r>
          </w:p>
        </w:tc>
      </w:tr>
      <w:tr w:rsidR="000804D6">
        <w:trPr>
          <w:trHeight w:val="422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lastRenderedPageBreak/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04D6" w:rsidRDefault="001C25D5">
            <w:pPr>
              <w:pStyle w:val="NormalWeb"/>
              <w:spacing w:before="0" w:after="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-  La ciudad: conocimiento y prácticas</w:t>
            </w:r>
          </w:p>
          <w:p w:rsidR="000804D6" w:rsidRDefault="001C25D5">
            <w:pPr>
              <w:pStyle w:val="NormalWeb"/>
              <w:spacing w:before="0" w:after="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-  Los elementos constitutivos del sistema y sus emergentes formales.</w:t>
            </w:r>
          </w:p>
          <w:p w:rsidR="000804D6" w:rsidRDefault="001C25D5">
            <w:pPr>
              <w:pStyle w:val="NormalWeb"/>
              <w:spacing w:before="0" w:after="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-  El diagnóstico urbano como base esencial de planes y proyectos urbanos. Metodología y métodos. </w:t>
            </w:r>
          </w:p>
          <w:p w:rsidR="000804D6" w:rsidRDefault="001C25D5">
            <w:pPr>
              <w:pStyle w:val="NormalWeb"/>
              <w:spacing w:before="0" w:after="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-  Diagnósticos sectoriales. Herramientas para su desarrollo. </w:t>
            </w:r>
          </w:p>
          <w:p w:rsidR="000804D6" w:rsidRDefault="001C25D5">
            <w:pPr>
              <w:pStyle w:val="NormalWeb"/>
              <w:spacing w:before="0" w:after="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-  Estrategias de Ordenamiento Urbano</w:t>
            </w:r>
          </w:p>
          <w:p w:rsidR="000804D6" w:rsidRDefault="001C25D5">
            <w:pPr>
              <w:pStyle w:val="NormalWeb"/>
              <w:spacing w:before="0" w:after="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-  Planes, Programas y Proyectos urbanos. Las distintas categorías. Alcances y restricciones. </w:t>
            </w:r>
          </w:p>
          <w:p w:rsidR="000804D6" w:rsidRDefault="001C25D5">
            <w:pPr>
              <w:pStyle w:val="NormalWeb"/>
              <w:spacing w:before="0" w:after="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-  El Plan de expansión urbana: instrumental teórico-metodológico.</w:t>
            </w:r>
          </w:p>
          <w:p w:rsidR="000804D6" w:rsidRDefault="001C25D5">
            <w:pPr>
              <w:pStyle w:val="NormalWeb"/>
              <w:spacing w:before="0" w:after="0"/>
              <w:rPr>
                <w:rStyle w:val="Ninguno"/>
              </w:rPr>
            </w:pPr>
            <w:r>
              <w:rPr>
                <w:rStyle w:val="Ninguno"/>
                <w:rFonts w:ascii="Arial" w:hAnsi="Arial"/>
              </w:rPr>
              <w:t>-  Los planes sectoriales: instrumental teórico-metodológico.</w:t>
            </w:r>
          </w:p>
          <w:p w:rsidR="000804D6" w:rsidRDefault="001C25D5">
            <w:pPr>
              <w:pStyle w:val="NormalWeb"/>
              <w:spacing w:before="0" w:after="0"/>
            </w:pPr>
            <w:r>
              <w:rPr>
                <w:rStyle w:val="Ninguno"/>
                <w:rFonts w:ascii="Arial" w:hAnsi="Arial"/>
              </w:rPr>
              <w:t>-  Los proyectos particularizados. El diseño urbano: instrumental teórico-metodológico.</w:t>
            </w:r>
          </w:p>
        </w:tc>
      </w:tr>
    </w:tbl>
    <w:p w:rsidR="000804D6" w:rsidRDefault="000804D6">
      <w:pPr>
        <w:pStyle w:val="CuerpoA"/>
        <w:widowControl w:val="0"/>
        <w:numPr>
          <w:ilvl w:val="0"/>
          <w:numId w:val="3"/>
        </w:numPr>
        <w:spacing w:line="240" w:lineRule="auto"/>
        <w:jc w:val="both"/>
      </w:pPr>
    </w:p>
    <w:p w:rsidR="000804D6" w:rsidRDefault="000804D6">
      <w:pPr>
        <w:pStyle w:val="CuerpoA"/>
        <w:widowControl w:val="0"/>
        <w:spacing w:after="0" w:line="240" w:lineRule="auto"/>
        <w:ind w:left="2" w:hanging="2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0804D6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0804D6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1C25D5">
      <w:pPr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2-Programa Analítico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i/>
          <w:iCs/>
        </w:rPr>
        <w:t>(Corresponde a la descripción del desarrollo de los contenidos mínimos en las diferentes bloques o unidades temáticas de la asignatura)</w:t>
      </w:r>
    </w:p>
    <w:p w:rsidR="000804D6" w:rsidRDefault="000804D6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1C25D5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Completar hasta 3000 caracteres </w:t>
      </w:r>
    </w:p>
    <w:p w:rsidR="000804D6" w:rsidRDefault="000804D6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0804D6">
      <w:pPr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0804D6" w:rsidRDefault="001C25D5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Modalidad de Enseñanza/aprendizaje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</w:rPr>
        <w:t>(</w:t>
      </w:r>
      <w:r>
        <w:rPr>
          <w:rStyle w:val="Ninguno"/>
          <w:rFonts w:ascii="Arial" w:hAnsi="Arial"/>
          <w:i/>
          <w:iCs/>
        </w:rPr>
        <w:t>Indicar características de las dinámicas y estrategias didácticas, señalando su pertenencia</w:t>
      </w:r>
      <w:r>
        <w:rPr>
          <w:rStyle w:val="Ninguno"/>
          <w:rFonts w:ascii="Arial" w:hAnsi="Arial"/>
          <w:i/>
          <w:iCs/>
          <w:shd w:val="clear" w:color="auto" w:fill="FFFF00"/>
        </w:rPr>
        <w:t xml:space="preserve"> </w:t>
      </w:r>
      <w:r>
        <w:rPr>
          <w:rStyle w:val="Ninguno"/>
          <w:rFonts w:ascii="Arial" w:hAnsi="Arial"/>
          <w:i/>
          <w:iCs/>
        </w:rPr>
        <w:t>en caso que la asignatura formase parte de una estructura de articulación vertical u  otras que se considere necesario)</w:t>
      </w:r>
      <w:r>
        <w:rPr>
          <w:rStyle w:val="Ninguno"/>
          <w:rFonts w:ascii="Arial" w:hAnsi="Arial"/>
          <w:i/>
          <w:iCs/>
          <w:shd w:val="clear" w:color="auto" w:fill="FFFFFF"/>
        </w:rPr>
        <w:t>.</w:t>
      </w:r>
    </w:p>
    <w:p w:rsidR="000804D6" w:rsidRDefault="001C25D5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1500-750 caracteres</w:t>
      </w:r>
    </w:p>
    <w:p w:rsidR="000804D6" w:rsidRDefault="001C25D5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0804D6" w:rsidRDefault="000804D6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1C25D5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Actividades teóricas y prácticas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</w:rPr>
        <w:t xml:space="preserve">( </w:t>
      </w:r>
      <w:r>
        <w:rPr>
          <w:rStyle w:val="Ninguno"/>
          <w:rFonts w:ascii="Arial" w:hAnsi="Arial"/>
          <w:i/>
          <w:iCs/>
        </w:rPr>
        <w:t>corresponde a las  descripción genérica del desarrollo de las actividades en relación al programa analítico detallado</w:t>
      </w:r>
      <w:r>
        <w:rPr>
          <w:rStyle w:val="Ninguno"/>
          <w:rFonts w:ascii="Arial" w:hAnsi="Arial"/>
        </w:rPr>
        <w:t xml:space="preserve"> )</w:t>
      </w:r>
    </w:p>
    <w:p w:rsidR="000804D6" w:rsidRDefault="000804D6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1C25D5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0804D6" w:rsidRDefault="000804D6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0804D6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1C25D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Formas de evaluación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</w:rPr>
        <w:t>(</w:t>
      </w:r>
      <w:r>
        <w:rPr>
          <w:rStyle w:val="Ninguno"/>
          <w:rFonts w:ascii="Arial" w:hAnsi="Arial"/>
          <w:i/>
          <w:iCs/>
        </w:rPr>
        <w:t xml:space="preserve">Indicar las diferentes instancias de seguimiento y evaluación consideradas) </w:t>
      </w:r>
    </w:p>
    <w:p w:rsidR="000804D6" w:rsidRDefault="000804D6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0804D6" w:rsidRDefault="001C25D5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0804D6" w:rsidRDefault="000804D6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0804D6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1C25D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</w:t>
      </w:r>
      <w:r>
        <w:rPr>
          <w:rStyle w:val="Ninguno"/>
          <w:rFonts w:ascii="Arial" w:hAnsi="Arial"/>
          <w:b/>
          <w:bCs/>
          <w:sz w:val="24"/>
          <w:szCs w:val="24"/>
          <w:u w:color="FF0000"/>
        </w:rPr>
        <w:t>General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edición).</w:t>
      </w:r>
    </w:p>
    <w:p w:rsidR="000804D6" w:rsidRDefault="000804D6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0804D6" w:rsidRDefault="001C25D5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0804D6" w:rsidRDefault="000804D6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0804D6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0804D6" w:rsidRDefault="000804D6">
      <w:pPr>
        <w:pStyle w:val="Prrafodelista"/>
        <w:spacing w:after="0" w:line="240" w:lineRule="auto"/>
        <w:ind w:left="356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</w:p>
    <w:p w:rsidR="000804D6" w:rsidRDefault="001C25D5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Complementaria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 autor/es, año de edición, título, editorial y lugar de edición</w:t>
      </w:r>
      <w:r>
        <w:rPr>
          <w:rStyle w:val="Ninguno"/>
          <w:rFonts w:ascii="Arial" w:hAnsi="Arial"/>
          <w:shd w:val="clear" w:color="auto" w:fill="FFFFFF"/>
        </w:rPr>
        <w:t>).</w:t>
      </w:r>
    </w:p>
    <w:p w:rsidR="000804D6" w:rsidRDefault="000804D6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</w:p>
    <w:p w:rsidR="000804D6" w:rsidRDefault="001C25D5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0804D6" w:rsidRDefault="000804D6">
      <w:pPr>
        <w:pStyle w:val="CuerpoA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shd w:val="clear" w:color="auto" w:fill="FFFFFF"/>
        </w:rPr>
      </w:pPr>
    </w:p>
    <w:p w:rsidR="000804D6" w:rsidRDefault="000804D6">
      <w:pPr>
        <w:pStyle w:val="CuerpoA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shd w:val="clear" w:color="auto" w:fill="FFFFFF"/>
        </w:rPr>
      </w:pPr>
    </w:p>
    <w:p w:rsidR="000804D6" w:rsidRDefault="001C25D5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 xml:space="preserve">Nota sobre carga de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>informació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  <w:lang w:val="de-DE"/>
        </w:rPr>
        <w:t>n: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</w:p>
    <w:p w:rsidR="000804D6" w:rsidRDefault="001C25D5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Los mismos serán cargados con tipografía 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arial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12, interlineado sencillo según la cantidad de caracteres especificados en cada ítem. Se solicita omitir la incorporación de piezas gráficas</w:t>
      </w:r>
      <w:r>
        <w:rPr>
          <w:rStyle w:val="Ninguno"/>
          <w:rFonts w:ascii="Arial" w:hAnsi="Arial"/>
          <w:sz w:val="24"/>
          <w:szCs w:val="24"/>
          <w:shd w:val="clear" w:color="auto" w:fill="FFFFFF"/>
          <w:lang w:val="pt-PT"/>
        </w:rPr>
        <w:t xml:space="preserve"> o im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ágenes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. </w:t>
      </w:r>
    </w:p>
    <w:p w:rsidR="000804D6" w:rsidRDefault="000804D6">
      <w:pPr>
        <w:pStyle w:val="CuerpoA"/>
        <w:jc w:val="both"/>
      </w:pPr>
    </w:p>
    <w:sectPr w:rsidR="000804D6">
      <w:headerReference w:type="default" r:id="rId7"/>
      <w:footerReference w:type="default" r:id="rId8"/>
      <w:pgSz w:w="12240" w:h="15840"/>
      <w:pgMar w:top="212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EA" w:rsidRDefault="00B74DEA">
      <w:pPr>
        <w:spacing w:after="0" w:line="240" w:lineRule="auto"/>
      </w:pPr>
      <w:r>
        <w:separator/>
      </w:r>
    </w:p>
  </w:endnote>
  <w:endnote w:type="continuationSeparator" w:id="0">
    <w:p w:rsidR="00B74DEA" w:rsidRDefault="00B7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D6" w:rsidRDefault="000804D6">
    <w:pPr>
      <w:pStyle w:val="Piedepgina"/>
      <w:pBdr>
        <w:top w:val="single" w:sz="4" w:space="0" w:color="000000"/>
      </w:pBdr>
      <w:spacing w:line="276" w:lineRule="auto"/>
      <w:jc w:val="center"/>
      <w:rPr>
        <w:rStyle w:val="Ninguno"/>
        <w:rFonts w:ascii="Open Sans" w:eastAsia="Open Sans" w:hAnsi="Open Sans" w:cs="Open Sans"/>
        <w:i/>
        <w:iCs/>
        <w:sz w:val="16"/>
        <w:szCs w:val="16"/>
      </w:rPr>
    </w:pPr>
  </w:p>
  <w:p w:rsidR="000804D6" w:rsidRDefault="001C25D5">
    <w:pPr>
      <w:pStyle w:val="Piedepgina"/>
      <w:spacing w:line="276" w:lineRule="auto"/>
      <w:jc w:val="center"/>
    </w:pPr>
    <w:r>
      <w:rPr>
        <w:rStyle w:val="Ninguno"/>
        <w:rFonts w:ascii="Courier New" w:hAnsi="Courier New"/>
        <w:i/>
        <w:iCs/>
        <w:sz w:val="14"/>
        <w:szCs w:val="14"/>
      </w:rPr>
      <w:t xml:space="preserve">47 n° 162 | CP. 1900 |La Plata | Buenos Aires | República Argentina | Tel.:4236587 al 90 |  </w:t>
    </w:r>
    <w:hyperlink r:id="rId1" w:history="1">
      <w:r>
        <w:rPr>
          <w:rStyle w:val="Hyperlink0"/>
        </w:rPr>
        <w:t>fau@fau.unlp.edu.ar</w:t>
      </w:r>
    </w:hyperlink>
    <w:r>
      <w:rPr>
        <w:rStyle w:val="Ninguno"/>
        <w:rFonts w:ascii="Courier New" w:hAnsi="Courier New"/>
        <w:i/>
        <w:iCs/>
        <w:sz w:val="14"/>
        <w:szCs w:val="14"/>
      </w:rPr>
      <w:t xml:space="preserve"> |  </w:t>
    </w:r>
    <w:hyperlink r:id="rId2" w:history="1">
      <w:r>
        <w:rPr>
          <w:rStyle w:val="Hyperlink0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EA" w:rsidRDefault="00B74DEA">
      <w:pPr>
        <w:spacing w:after="0" w:line="240" w:lineRule="auto"/>
      </w:pPr>
      <w:r>
        <w:separator/>
      </w:r>
    </w:p>
  </w:footnote>
  <w:footnote w:type="continuationSeparator" w:id="0">
    <w:p w:rsidR="00B74DEA" w:rsidRDefault="00B7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D6" w:rsidRDefault="001C25D5">
    <w:pPr>
      <w:pStyle w:val="Encabezado"/>
      <w:tabs>
        <w:tab w:val="left" w:pos="8998"/>
      </w:tabs>
      <w:jc w:val="right"/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281254</wp:posOffset>
          </wp:positionV>
          <wp:extent cx="2167255" cy="419100"/>
          <wp:effectExtent l="0" t="0" r="0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35122" r="3396" b="23414"/>
                  <a:stretch>
                    <a:fillRect/>
                  </a:stretch>
                </pic:blipFill>
                <pic:spPr>
                  <a:xfrm>
                    <a:off x="0" y="0"/>
                    <a:ext cx="2167255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77AEE"/>
    <w:multiLevelType w:val="hybridMultilevel"/>
    <w:tmpl w:val="B80C1482"/>
    <w:styleLink w:val="Estiloimportado3"/>
    <w:lvl w:ilvl="0" w:tplc="47D41B68">
      <w:start w:val="1"/>
      <w:numFmt w:val="decimal"/>
      <w:lvlText w:val="%1.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8EA574">
      <w:start w:val="1"/>
      <w:numFmt w:val="lowerLetter"/>
      <w:lvlText w:val="%2.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BC2812">
      <w:start w:val="1"/>
      <w:numFmt w:val="lowerRoman"/>
      <w:lvlText w:val="%3."/>
      <w:lvlJc w:val="left"/>
      <w:pPr>
        <w:ind w:left="1440" w:hanging="6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446F16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1C453A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CC09F2">
      <w:start w:val="1"/>
      <w:numFmt w:val="lowerRoman"/>
      <w:lvlText w:val="%6."/>
      <w:lvlJc w:val="left"/>
      <w:pPr>
        <w:ind w:left="3600" w:hanging="60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564AF6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4AF55C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3E6AC4">
      <w:start w:val="1"/>
      <w:numFmt w:val="lowerRoman"/>
      <w:lvlText w:val="%9."/>
      <w:lvlJc w:val="left"/>
      <w:pPr>
        <w:ind w:left="5760" w:hanging="5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28C6C16"/>
    <w:multiLevelType w:val="hybridMultilevel"/>
    <w:tmpl w:val="B944FAFC"/>
    <w:styleLink w:val="Estiloimportado2"/>
    <w:lvl w:ilvl="0" w:tplc="2B6AEA0C">
      <w:start w:val="1"/>
      <w:numFmt w:val="decimal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A07E6C">
      <w:start w:val="1"/>
      <w:numFmt w:val="lowerLetter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925026">
      <w:start w:val="1"/>
      <w:numFmt w:val="lowerRoman"/>
      <w:lvlText w:val="%3."/>
      <w:lvlJc w:val="left"/>
      <w:pPr>
        <w:tabs>
          <w:tab w:val="num" w:pos="2124"/>
        </w:tabs>
        <w:ind w:left="2136" w:hanging="6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3243CA">
      <w:start w:val="1"/>
      <w:numFmt w:val="decimal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2A4578">
      <w:start w:val="1"/>
      <w:numFmt w:val="lowerLetter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14E41A">
      <w:start w:val="1"/>
      <w:numFmt w:val="lowerRoman"/>
      <w:lvlText w:val="%6."/>
      <w:lvlJc w:val="left"/>
      <w:pPr>
        <w:tabs>
          <w:tab w:val="num" w:pos="4248"/>
        </w:tabs>
        <w:ind w:left="426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39EA">
      <w:start w:val="1"/>
      <w:numFmt w:val="decimal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4EC380">
      <w:start w:val="1"/>
      <w:numFmt w:val="lowerLetter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32BC92">
      <w:start w:val="1"/>
      <w:numFmt w:val="lowerRoman"/>
      <w:lvlText w:val="%9."/>
      <w:lvlJc w:val="left"/>
      <w:pPr>
        <w:tabs>
          <w:tab w:val="num" w:pos="6372"/>
        </w:tabs>
        <w:ind w:left="6384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5A55047"/>
    <w:multiLevelType w:val="hybridMultilevel"/>
    <w:tmpl w:val="B80C1482"/>
    <w:numStyleLink w:val="Estiloimportado3"/>
  </w:abstractNum>
  <w:abstractNum w:abstractNumId="3">
    <w:nsid w:val="73595E61"/>
    <w:multiLevelType w:val="hybridMultilevel"/>
    <w:tmpl w:val="B944FAFC"/>
    <w:numStyleLink w:val="Estiloimportado2"/>
  </w:abstractNum>
  <w:num w:numId="1">
    <w:abstractNumId w:val="1"/>
  </w:num>
  <w:num w:numId="2">
    <w:abstractNumId w:val="3"/>
  </w:num>
  <w:num w:numId="3">
    <w:abstractNumId w:val="3"/>
    <w:lvlOverride w:ilvl="0">
      <w:lvl w:ilvl="0" w:tplc="63B69DC6">
        <w:start w:val="1"/>
        <w:numFmt w:val="decimal"/>
        <w:lvlText w:val="%1."/>
        <w:lvlJc w:val="left"/>
        <w:pPr>
          <w:tabs>
            <w:tab w:val="num" w:pos="649"/>
          </w:tabs>
          <w:ind w:left="759" w:hanging="7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9860CE">
        <w:start w:val="1"/>
        <w:numFmt w:val="lowerLetter"/>
        <w:lvlText w:val="%2."/>
        <w:lvlJc w:val="left"/>
        <w:pPr>
          <w:tabs>
            <w:tab w:val="num" w:pos="1358"/>
          </w:tabs>
          <w:ind w:left="1468" w:hanging="7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1C7A0E">
        <w:start w:val="1"/>
        <w:numFmt w:val="lowerRoman"/>
        <w:lvlText w:val="%3."/>
        <w:lvlJc w:val="left"/>
        <w:pPr>
          <w:tabs>
            <w:tab w:val="num" w:pos="2071"/>
          </w:tabs>
          <w:ind w:left="2181" w:hanging="6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4EC81C">
        <w:start w:val="1"/>
        <w:numFmt w:val="decimal"/>
        <w:lvlText w:val="%4."/>
        <w:lvlJc w:val="left"/>
        <w:pPr>
          <w:tabs>
            <w:tab w:val="num" w:pos="2776"/>
          </w:tabs>
          <w:ind w:left="288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126378">
        <w:start w:val="1"/>
        <w:numFmt w:val="lowerLetter"/>
        <w:lvlText w:val="%5."/>
        <w:lvlJc w:val="left"/>
        <w:pPr>
          <w:tabs>
            <w:tab w:val="num" w:pos="3485"/>
          </w:tabs>
          <w:ind w:left="3595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4232D0">
        <w:start w:val="1"/>
        <w:numFmt w:val="lowerRoman"/>
        <w:lvlText w:val="%6."/>
        <w:lvlJc w:val="left"/>
        <w:pPr>
          <w:tabs>
            <w:tab w:val="num" w:pos="4198"/>
          </w:tabs>
          <w:ind w:left="4308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A24FF8">
        <w:start w:val="1"/>
        <w:numFmt w:val="decimal"/>
        <w:lvlText w:val="%7."/>
        <w:lvlJc w:val="left"/>
        <w:pPr>
          <w:tabs>
            <w:tab w:val="num" w:pos="4903"/>
          </w:tabs>
          <w:ind w:left="5013" w:hanging="6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828948">
        <w:start w:val="1"/>
        <w:numFmt w:val="lowerLetter"/>
        <w:lvlText w:val="%8."/>
        <w:lvlJc w:val="left"/>
        <w:pPr>
          <w:tabs>
            <w:tab w:val="num" w:pos="5612"/>
          </w:tabs>
          <w:ind w:left="5722" w:hanging="6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86E0AC">
        <w:start w:val="1"/>
        <w:numFmt w:val="lowerRoman"/>
        <w:lvlText w:val="%9."/>
        <w:lvlJc w:val="left"/>
        <w:pPr>
          <w:tabs>
            <w:tab w:val="num" w:pos="6325"/>
          </w:tabs>
          <w:ind w:left="6435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2"/>
    <w:lvlOverride w:ilvl="0">
      <w:startOverride w:val="3"/>
    </w:lvlOverride>
  </w:num>
  <w:num w:numId="7">
    <w:abstractNumId w:val="2"/>
    <w:lvlOverride w:ilvl="0">
      <w:lvl w:ilvl="0" w:tplc="2D080434">
        <w:start w:val="1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901EA4">
        <w:start w:val="1"/>
        <w:numFmt w:val="lowerLetter"/>
        <w:lvlText w:val="%2."/>
        <w:lvlJc w:val="left"/>
        <w:pPr>
          <w:ind w:left="720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245AAE">
        <w:start w:val="1"/>
        <w:numFmt w:val="lowerRoman"/>
        <w:lvlText w:val="%3."/>
        <w:lvlJc w:val="left"/>
        <w:pPr>
          <w:ind w:left="1440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94605E">
        <w:start w:val="1"/>
        <w:numFmt w:val="decimal"/>
        <w:lvlText w:val="%4."/>
        <w:lvlJc w:val="left"/>
        <w:pPr>
          <w:ind w:left="2160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78AF88">
        <w:start w:val="1"/>
        <w:numFmt w:val="lowerLetter"/>
        <w:lvlText w:val="%5."/>
        <w:lvlJc w:val="left"/>
        <w:pPr>
          <w:ind w:left="2880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C40428">
        <w:start w:val="1"/>
        <w:numFmt w:val="lowerRoman"/>
        <w:lvlText w:val="%6."/>
        <w:lvlJc w:val="left"/>
        <w:pPr>
          <w:ind w:left="3600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7C03D2">
        <w:start w:val="1"/>
        <w:numFmt w:val="decimal"/>
        <w:lvlText w:val="%7."/>
        <w:lvlJc w:val="left"/>
        <w:pPr>
          <w:ind w:left="4320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D276C8">
        <w:start w:val="1"/>
        <w:numFmt w:val="lowerLetter"/>
        <w:lvlText w:val="%8."/>
        <w:lvlJc w:val="left"/>
        <w:pPr>
          <w:ind w:left="50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A83E16">
        <w:start w:val="1"/>
        <w:numFmt w:val="lowerRoman"/>
        <w:lvlText w:val="%9."/>
        <w:lvlJc w:val="left"/>
        <w:pPr>
          <w:ind w:left="57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D6"/>
    <w:rsid w:val="000804D6"/>
    <w:rsid w:val="001C25D5"/>
    <w:rsid w:val="007919FB"/>
    <w:rsid w:val="00B74DEA"/>
    <w:rsid w:val="00C4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58337-3E9E-4B2D-97A5-BB199FED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rFonts w:ascii="Courier New" w:eastAsia="Courier New" w:hAnsi="Courier New" w:cs="Courier New"/>
      <w:sz w:val="14"/>
      <w:szCs w:val="14"/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3">
    <w:name w:val="Estilo importado 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nlp.edu.ar" TargetMode="External"/><Relationship Id="rId1" Type="http://schemas.openxmlformats.org/officeDocument/2006/relationships/hyperlink" Target="mailto:fau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4</cp:revision>
  <dcterms:created xsi:type="dcterms:W3CDTF">2023-03-27T11:38:00Z</dcterms:created>
  <dcterms:modified xsi:type="dcterms:W3CDTF">2023-03-27T11:52:00Z</dcterms:modified>
</cp:coreProperties>
</file>